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right="283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ПОЯСНИТЕЛЬНАЯ ЗАПИСКА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709" w:right="283" w:firstLine="0"/>
        <w:jc w:val="center"/>
        <w:spacing w:lineRule="exact" w:line="240" w:after="0"/>
        <w:rPr>
          <w:rFonts w:ascii="PT Astra Serif" w:hAnsi="PT Astra Serif" w:cs="PT Astra Serif" w:eastAsia="PT Astra Serif"/>
          <w:sz w:val="28"/>
          <w:szCs w:val="26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к проекту закона Алтайского края «О внесении изменений в закон Алта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ского края «Об установлении налоговой ставки 0 процентов для налог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  <w:r>
        <w:rPr>
          <w:highlight w:val="white"/>
        </w:rPr>
      </w:r>
      <w:r/>
    </w:p>
    <w:p>
      <w:pPr>
        <w:ind w:left="0" w:right="283" w:firstLine="709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6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6"/>
          <w:highlight w:val="white"/>
        </w:rPr>
      </w:r>
      <w:r>
        <w:rPr>
          <w:highlight w:val="white"/>
        </w:rPr>
      </w:r>
      <w:r/>
    </w:p>
    <w:p>
      <w:pPr>
        <w:ind w:left="0" w:right="283"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6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Настоящий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проект закона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Алтайского края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одготовлен в связи с прин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ятием Федерального з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акон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а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от 26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марта 2022 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года № 67-ФЗ «</w:t>
      </w:r>
      <w:r>
        <w:rPr>
          <w:rFonts w:ascii="PT Astra Serif" w:hAnsi="PT Astra Serif" w:cs="PT Astra Serif" w:eastAsia="PT Astra Serif"/>
          <w:sz w:val="28"/>
          <w:highlight w:val="white"/>
        </w:rPr>
        <w:t xml:space="preserve">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, а также с предложениями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, отраженными в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постановлении Алтайского краевого Законодательного Собрания от 3 мая 2023 года № 103 «О деятельности Уполномоченного по защите прав предпринимателей в Алтайском крае в 2022 году»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283"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6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Проектом закона п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редусматрива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ется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продлен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ие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до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января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5 года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действия налоговой ставки в размере 0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процентов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(преференции) </w:t>
      </w:r>
      <w:bookmarkStart w:id="0" w:name="_GoBack"/>
      <w:r>
        <w:rPr>
          <w:rFonts w:ascii="PT Astra Serif" w:hAnsi="PT Astra Serif" w:cs="PT Astra Serif" w:eastAsia="PT Astra Serif"/>
          <w:sz w:val="28"/>
          <w:highlight w:val="white"/>
        </w:rPr>
      </w:r>
      <w:bookmarkEnd w:id="0"/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при применении упрощенной и (или) патентной систем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налогообложения для налогоплательщиков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–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индивидуальных пре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д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принимателей, впервые зарегистрированных после вступления в силу ук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занных законов и осуществляющих предпринимательскую деятельность в производственной, социальной и (или) научной сферах, а также в сфере оказания б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ы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товых услуг насел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нию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</w:t>
      </w:r>
      <w:r>
        <w:rPr>
          <w:highlight w:val="white"/>
        </w:rPr>
      </w:r>
      <w:r/>
    </w:p>
    <w:p>
      <w:pPr>
        <w:ind w:left="0" w:right="283"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Кроме того,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проектом закона 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расширяется перечень льготных направлений деятельности, а также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увеличивается размер предельного уровня дохода 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индивидуального предпринимателя при использовании данной преференции с 15 до 20 млн. рублей в соответствии с требованиями Налогового кодекса Российской Федерации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, что может способствовать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росту числа хозяйствующих субъектов, ос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ществляющих предпринимательскую деятельность в правовом поле, укреплению 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обороноспособности страны, обеспечению промышленного и технологического суверенитета.</w:t>
      </w:r>
      <w:r/>
    </w:p>
    <w:p>
      <w:pPr>
        <w:ind w:left="0" w:right="283"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6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Реализация закона не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 повлечет дополнительных расходов краевого бюджета</w:t>
      </w:r>
      <w:r>
        <w:rPr>
          <w:rFonts w:ascii="PT Astra Serif" w:hAnsi="PT Astra Serif" w:cs="PT Astra Serif" w:eastAsia="PT Astra Serif"/>
          <w:sz w:val="28"/>
          <w:szCs w:val="26"/>
          <w:highlight w:val="white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/>
    </w:p>
    <w:tbl>
      <w:tblPr>
        <w:tblStyle w:val="48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 w:eastAsia="PT Astra Serif"/>
                <w:sz w:val="28"/>
                <w:highlight w:val="whit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highlight w:val="none"/>
              </w:rPr>
              <w:t xml:space="preserve">____________________ В.П. Томенко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Уполномоченный по защите прав предпринимателей в Алтайском крае</w:t>
            </w:r>
            <w:r>
              <w:rPr>
                <w:rFonts w:ascii="PT Astra Serif" w:hAnsi="PT Astra Serif" w:cs="PT Astra Serif" w:eastAsia="PT Astra Serif"/>
                <w:sz w:val="28"/>
                <w:highlight w:val="whit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highlight w:val="none"/>
              </w:rPr>
              <w:t xml:space="preserve">_____________________ А.Г. Осипов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  <w:highlight w:val="white"/>
        </w:rPr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paragraph" w:styleId="62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revision>19</cp:revision>
  <dcterms:created xsi:type="dcterms:W3CDTF">2020-11-17T04:26:00Z</dcterms:created>
  <dcterms:modified xsi:type="dcterms:W3CDTF">2023-08-14T05:52:07Z</dcterms:modified>
</cp:coreProperties>
</file>